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“Strappa la maschera” è stato scritto per il Campo di Pasqua del 1992,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campo verniciatura. Il volantino per cercare lavori era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disegno di una persiana che si apriva.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Apri le porte del tuo cuore, fai un gesto d’amore…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aprendo le ante c’era scritto “le porte te le verniciamo noi”…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campo volevamo farci vedere come eravamo,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strappare la maschera.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Gridando “Urrà!” il gesto è proprio quello di togliersi la maschera dal volto.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melodia delle strofe prende spunto dal fischiettio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inizio del cartone Disney di Robin Hood.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